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畅晶晶</w:t>
      </w:r>
      <w:r>
        <w:rPr>
          <w:rFonts w:hint="eastAsia"/>
          <w:sz w:val="15"/>
          <w:szCs w:val="15"/>
          <w:highlight w:val="none"/>
        </w:rPr>
        <w:t>，</w:t>
      </w:r>
      <w:r>
        <w:rPr>
          <w:rFonts w:hint="eastAsia"/>
          <w:sz w:val="15"/>
          <w:szCs w:val="15"/>
          <w:highlight w:val="none"/>
          <w:lang w:val="en-US" w:eastAsia="zh-CN"/>
        </w:rPr>
        <w:t>142430198510222025</w:t>
      </w:r>
      <w:r>
        <w:rPr>
          <w:rFonts w:hint="eastAsia"/>
          <w:sz w:val="15"/>
          <w:szCs w:val="15"/>
        </w:rPr>
        <w:t xml:space="preserve">  </w:t>
      </w:r>
      <w:r>
        <w:rPr>
          <w:rFonts w:hint="eastAsia"/>
          <w:sz w:val="15"/>
          <w:szCs w:val="15"/>
          <w:lang w:val="en-US" w:eastAsia="zh-CN"/>
        </w:rPr>
        <w:t>晋KC3347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