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韩玉青</w:t>
      </w:r>
      <w:r>
        <w:rPr>
          <w:rFonts w:hint="eastAsia"/>
          <w:sz w:val="15"/>
          <w:szCs w:val="15"/>
          <w:highlight w:val="none"/>
        </w:rPr>
        <w:t>，</w:t>
      </w:r>
      <w:r>
        <w:rPr>
          <w:rFonts w:hint="eastAsia"/>
          <w:sz w:val="15"/>
          <w:szCs w:val="15"/>
          <w:highlight w:val="none"/>
          <w:lang w:val="en-US" w:eastAsia="zh-CN"/>
        </w:rPr>
        <w:t>142430198003162013</w:t>
      </w:r>
      <w:r>
        <w:rPr>
          <w:rFonts w:hint="eastAsia"/>
          <w:sz w:val="15"/>
          <w:szCs w:val="15"/>
        </w:rPr>
        <w:t xml:space="preserve">  </w:t>
      </w:r>
      <w:r>
        <w:rPr>
          <w:rFonts w:hint="eastAsia"/>
          <w:sz w:val="15"/>
          <w:szCs w:val="15"/>
          <w:lang w:val="en-US" w:eastAsia="zh-CN"/>
        </w:rPr>
        <w:t>晋AX3541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