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程正苗</w:t>
      </w:r>
      <w:r>
        <w:rPr>
          <w:rFonts w:hint="eastAsia"/>
          <w:sz w:val="15"/>
          <w:szCs w:val="15"/>
          <w:highlight w:val="none"/>
        </w:rPr>
        <w:t>，</w:t>
      </w:r>
      <w:r>
        <w:rPr>
          <w:rFonts w:hint="eastAsia"/>
          <w:sz w:val="15"/>
          <w:szCs w:val="15"/>
          <w:highlight w:val="none"/>
          <w:lang w:val="en-US" w:eastAsia="zh-CN"/>
        </w:rPr>
        <w:t>142429198306062858</w:t>
      </w:r>
      <w:r>
        <w:rPr>
          <w:rFonts w:hint="eastAsia"/>
          <w:sz w:val="15"/>
          <w:szCs w:val="15"/>
        </w:rPr>
        <w:t xml:space="preserve">  </w:t>
      </w:r>
      <w:r>
        <w:rPr>
          <w:rFonts w:hint="eastAsia"/>
          <w:sz w:val="15"/>
          <w:szCs w:val="15"/>
          <w:lang w:val="en-US" w:eastAsia="zh-CN"/>
        </w:rPr>
        <w:t>晋ABZ180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