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李伟岗</w:t>
      </w:r>
      <w:r>
        <w:rPr>
          <w:rFonts w:hint="eastAsia"/>
          <w:sz w:val="15"/>
          <w:szCs w:val="15"/>
          <w:highlight w:val="none"/>
        </w:rPr>
        <w:t>，</w:t>
      </w:r>
      <w:r>
        <w:rPr>
          <w:rFonts w:hint="eastAsia"/>
          <w:sz w:val="15"/>
          <w:szCs w:val="15"/>
          <w:highlight w:val="none"/>
          <w:lang w:val="en-US" w:eastAsia="zh-CN"/>
        </w:rPr>
        <w:t>142401197406175816</w:t>
      </w:r>
      <w:r>
        <w:rPr>
          <w:rFonts w:hint="eastAsia"/>
          <w:sz w:val="15"/>
          <w:szCs w:val="15"/>
        </w:rPr>
        <w:t xml:space="preserve">  </w:t>
      </w:r>
      <w:r>
        <w:rPr>
          <w:rFonts w:hint="eastAsia"/>
          <w:sz w:val="15"/>
          <w:szCs w:val="15"/>
          <w:lang w:val="en-US" w:eastAsia="zh-CN"/>
        </w:rPr>
        <w:t>晋AAF766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