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刘建忠</w:t>
      </w:r>
      <w:r>
        <w:rPr>
          <w:rFonts w:hint="eastAsia"/>
          <w:sz w:val="15"/>
          <w:szCs w:val="15"/>
          <w:highlight w:val="none"/>
        </w:rPr>
        <w:t>，</w:t>
      </w:r>
      <w:r>
        <w:rPr>
          <w:rFonts w:hint="eastAsia"/>
          <w:sz w:val="15"/>
          <w:szCs w:val="15"/>
          <w:highlight w:val="none"/>
          <w:lang w:val="en-US" w:eastAsia="zh-CN"/>
        </w:rPr>
        <w:t>142401197009213436</w:t>
      </w:r>
      <w:r>
        <w:rPr>
          <w:rFonts w:hint="eastAsia"/>
          <w:sz w:val="15"/>
          <w:szCs w:val="15"/>
        </w:rPr>
        <w:t xml:space="preserve">  </w:t>
      </w:r>
      <w:r>
        <w:rPr>
          <w:rFonts w:hint="eastAsia"/>
          <w:sz w:val="15"/>
          <w:szCs w:val="15"/>
          <w:lang w:val="en-US" w:eastAsia="zh-CN"/>
        </w:rPr>
        <w:t>晋AZ5015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