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张芝军</w:t>
      </w:r>
      <w:r>
        <w:rPr>
          <w:rFonts w:hint="eastAsia"/>
          <w:sz w:val="15"/>
          <w:szCs w:val="15"/>
          <w:highlight w:val="none"/>
        </w:rPr>
        <w:t>，</w:t>
      </w:r>
      <w:r>
        <w:rPr>
          <w:rFonts w:hint="eastAsia"/>
          <w:sz w:val="15"/>
          <w:szCs w:val="15"/>
          <w:highlight w:val="none"/>
          <w:lang w:val="en-US" w:eastAsia="zh-CN"/>
        </w:rPr>
        <w:t>14232319850707021X</w:t>
      </w:r>
      <w:r>
        <w:rPr>
          <w:rFonts w:hint="eastAsia"/>
          <w:sz w:val="15"/>
          <w:szCs w:val="15"/>
        </w:rPr>
        <w:t xml:space="preserve">  </w:t>
      </w:r>
      <w:r>
        <w:rPr>
          <w:rFonts w:hint="eastAsia"/>
          <w:sz w:val="15"/>
          <w:szCs w:val="15"/>
          <w:lang w:val="en-US" w:eastAsia="zh-CN"/>
        </w:rPr>
        <w:t>晋AC7498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