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马兴军</w:t>
      </w:r>
      <w:r>
        <w:rPr>
          <w:rFonts w:hint="eastAsia"/>
          <w:sz w:val="15"/>
          <w:szCs w:val="15"/>
          <w:highlight w:val="none"/>
        </w:rPr>
        <w:t>，</w:t>
      </w:r>
      <w:r>
        <w:rPr>
          <w:rFonts w:hint="eastAsia"/>
          <w:sz w:val="15"/>
          <w:szCs w:val="15"/>
          <w:highlight w:val="none"/>
          <w:lang w:val="en-US" w:eastAsia="zh-CN"/>
        </w:rPr>
        <w:t>142231197404163616</w:t>
      </w:r>
      <w:r>
        <w:rPr>
          <w:rFonts w:hint="eastAsia"/>
          <w:sz w:val="15"/>
          <w:szCs w:val="15"/>
        </w:rPr>
        <w:t xml:space="preserve">  </w:t>
      </w:r>
      <w:r>
        <w:rPr>
          <w:rFonts w:hint="eastAsia"/>
          <w:sz w:val="15"/>
          <w:szCs w:val="15"/>
          <w:lang w:val="en-US" w:eastAsia="zh-CN"/>
        </w:rPr>
        <w:t>晋AS5249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