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毕晋强</w:t>
      </w:r>
      <w:r>
        <w:rPr>
          <w:rFonts w:hint="eastAsia"/>
          <w:sz w:val="15"/>
          <w:szCs w:val="15"/>
          <w:highlight w:val="none"/>
        </w:rPr>
        <w:t>，</w:t>
      </w:r>
      <w:r>
        <w:rPr>
          <w:rFonts w:hint="eastAsia"/>
          <w:sz w:val="15"/>
          <w:szCs w:val="15"/>
          <w:highlight w:val="none"/>
          <w:lang w:val="en-US" w:eastAsia="zh-CN"/>
        </w:rPr>
        <w:t>140702198601177054</w:t>
      </w:r>
      <w:r>
        <w:rPr>
          <w:rFonts w:hint="eastAsia"/>
          <w:sz w:val="15"/>
          <w:szCs w:val="15"/>
        </w:rPr>
        <w:t xml:space="preserve">  </w:t>
      </w:r>
      <w:r>
        <w:rPr>
          <w:rFonts w:hint="eastAsia"/>
          <w:sz w:val="15"/>
          <w:szCs w:val="15"/>
          <w:lang w:val="en-US" w:eastAsia="zh-CN"/>
        </w:rPr>
        <w:t>晋AZ0006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