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胡彦明</w:t>
      </w:r>
      <w:r>
        <w:rPr>
          <w:rFonts w:hint="eastAsia"/>
          <w:sz w:val="15"/>
          <w:szCs w:val="15"/>
          <w:highlight w:val="none"/>
        </w:rPr>
        <w:t>，</w:t>
      </w:r>
      <w:r>
        <w:rPr>
          <w:rFonts w:hint="eastAsia"/>
          <w:sz w:val="15"/>
          <w:szCs w:val="15"/>
          <w:highlight w:val="none"/>
          <w:lang w:val="en-US" w:eastAsia="zh-CN"/>
        </w:rPr>
        <w:t>14032219821203271X</w:t>
      </w:r>
      <w:r>
        <w:rPr>
          <w:rFonts w:hint="eastAsia"/>
          <w:sz w:val="15"/>
          <w:szCs w:val="15"/>
        </w:rPr>
        <w:t xml:space="preserve">  </w:t>
      </w:r>
      <w:r>
        <w:rPr>
          <w:rFonts w:hint="eastAsia"/>
          <w:sz w:val="15"/>
          <w:szCs w:val="15"/>
          <w:lang w:val="en-US" w:eastAsia="zh-CN"/>
        </w:rPr>
        <w:t>晋C26080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