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梁玉明</w:t>
      </w:r>
      <w:r>
        <w:rPr>
          <w:rFonts w:hint="eastAsia"/>
          <w:sz w:val="15"/>
          <w:szCs w:val="15"/>
          <w:highlight w:val="none"/>
        </w:rPr>
        <w:t>，</w:t>
      </w:r>
      <w:r>
        <w:rPr>
          <w:rFonts w:hint="eastAsia"/>
          <w:sz w:val="15"/>
          <w:szCs w:val="15"/>
          <w:highlight w:val="none"/>
          <w:lang w:val="en-US" w:eastAsia="zh-CN"/>
        </w:rPr>
        <w:t>140322197109283313</w:t>
      </w:r>
      <w:r>
        <w:rPr>
          <w:rFonts w:hint="eastAsia"/>
          <w:sz w:val="15"/>
          <w:szCs w:val="15"/>
        </w:rPr>
        <w:t xml:space="preserve">  </w:t>
      </w:r>
      <w:r>
        <w:rPr>
          <w:rFonts w:hint="eastAsia"/>
          <w:sz w:val="15"/>
          <w:szCs w:val="15"/>
          <w:lang w:val="en-US" w:eastAsia="zh-CN"/>
        </w:rPr>
        <w:t>晋C01236D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