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王治魁</w:t>
      </w:r>
      <w:r>
        <w:rPr>
          <w:rFonts w:hint="eastAsia"/>
          <w:sz w:val="15"/>
          <w:szCs w:val="15"/>
          <w:highlight w:val="none"/>
        </w:rPr>
        <w:t>，</w:t>
      </w:r>
      <w:r>
        <w:rPr>
          <w:rFonts w:hint="eastAsia"/>
          <w:sz w:val="15"/>
          <w:szCs w:val="15"/>
          <w:highlight w:val="none"/>
          <w:lang w:val="en-US" w:eastAsia="zh-CN"/>
        </w:rPr>
        <w:t>140321198312084510</w:t>
      </w:r>
      <w:r>
        <w:rPr>
          <w:rFonts w:hint="eastAsia"/>
          <w:sz w:val="15"/>
          <w:szCs w:val="15"/>
        </w:rPr>
        <w:t xml:space="preserve">  </w:t>
      </w:r>
      <w:r>
        <w:rPr>
          <w:rFonts w:hint="eastAsia"/>
          <w:sz w:val="15"/>
          <w:szCs w:val="15"/>
          <w:lang w:val="en-US" w:eastAsia="zh-CN"/>
        </w:rPr>
        <w:t>晋C36317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