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王利凯</w:t>
      </w:r>
      <w:r>
        <w:rPr>
          <w:rFonts w:hint="eastAsia"/>
          <w:sz w:val="15"/>
          <w:szCs w:val="15"/>
          <w:highlight w:val="none"/>
        </w:rPr>
        <w:t>，</w:t>
      </w:r>
      <w:r>
        <w:rPr>
          <w:rFonts w:hint="eastAsia"/>
          <w:sz w:val="15"/>
          <w:szCs w:val="15"/>
          <w:highlight w:val="none"/>
          <w:lang w:val="en-US" w:eastAsia="zh-CN"/>
        </w:rPr>
        <w:t>140321198207294516</w:t>
      </w:r>
      <w:r>
        <w:rPr>
          <w:rFonts w:hint="eastAsia"/>
          <w:sz w:val="15"/>
          <w:szCs w:val="15"/>
        </w:rPr>
        <w:t xml:space="preserve">  </w:t>
      </w:r>
      <w:r>
        <w:rPr>
          <w:rFonts w:hint="eastAsia"/>
          <w:sz w:val="15"/>
          <w:szCs w:val="15"/>
          <w:lang w:val="en-US" w:eastAsia="zh-CN"/>
        </w:rPr>
        <w:t>晋C06888D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