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王昶</w:t>
      </w:r>
      <w:r>
        <w:rPr>
          <w:rFonts w:hint="eastAsia"/>
          <w:sz w:val="15"/>
          <w:szCs w:val="15"/>
          <w:highlight w:val="none"/>
        </w:rPr>
        <w:t>，</w:t>
      </w:r>
      <w:r>
        <w:rPr>
          <w:rFonts w:hint="eastAsia"/>
          <w:sz w:val="15"/>
          <w:szCs w:val="15"/>
          <w:highlight w:val="none"/>
          <w:lang w:val="en-US" w:eastAsia="zh-CN"/>
        </w:rPr>
        <w:t>14012119840517061X</w:t>
      </w:r>
      <w:r>
        <w:rPr>
          <w:rFonts w:hint="eastAsia"/>
          <w:sz w:val="15"/>
          <w:szCs w:val="15"/>
        </w:rPr>
        <w:t xml:space="preserve">  </w:t>
      </w:r>
      <w:r>
        <w:rPr>
          <w:rFonts w:hint="eastAsia"/>
          <w:sz w:val="15"/>
          <w:szCs w:val="15"/>
          <w:lang w:val="en-US" w:eastAsia="zh-CN"/>
        </w:rPr>
        <w:t>晋AY2111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