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王中豪</w:t>
      </w:r>
      <w:r>
        <w:rPr>
          <w:rFonts w:hint="eastAsia"/>
          <w:sz w:val="15"/>
          <w:szCs w:val="15"/>
          <w:highlight w:val="none"/>
        </w:rPr>
        <w:t>，</w:t>
      </w:r>
      <w:r>
        <w:rPr>
          <w:rFonts w:hint="eastAsia"/>
          <w:sz w:val="15"/>
          <w:szCs w:val="15"/>
          <w:highlight w:val="none"/>
          <w:lang w:val="en-US" w:eastAsia="zh-CN"/>
        </w:rPr>
        <w:t>140110199810260016</w:t>
      </w:r>
      <w:r>
        <w:rPr>
          <w:rFonts w:hint="eastAsia"/>
          <w:sz w:val="15"/>
          <w:szCs w:val="15"/>
        </w:rPr>
        <w:t xml:space="preserve">  </w:t>
      </w:r>
      <w:r>
        <w:rPr>
          <w:rFonts w:hint="eastAsia"/>
          <w:sz w:val="15"/>
          <w:szCs w:val="15"/>
          <w:lang w:val="en-US" w:eastAsia="zh-CN"/>
        </w:rPr>
        <w:t>冀B07642D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