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王燕岗</w:t>
      </w:r>
      <w:r>
        <w:rPr>
          <w:rFonts w:hint="eastAsia"/>
          <w:sz w:val="15"/>
          <w:szCs w:val="15"/>
          <w:highlight w:val="none"/>
        </w:rPr>
        <w:t>，</w:t>
      </w:r>
      <w:r>
        <w:rPr>
          <w:rFonts w:hint="eastAsia"/>
          <w:sz w:val="15"/>
          <w:szCs w:val="15"/>
          <w:highlight w:val="none"/>
          <w:lang w:val="en-US" w:eastAsia="zh-CN"/>
        </w:rPr>
        <w:t>140105198405092519</w:t>
      </w:r>
      <w:r>
        <w:rPr>
          <w:rFonts w:hint="eastAsia"/>
          <w:sz w:val="15"/>
          <w:szCs w:val="15"/>
        </w:rPr>
        <w:t xml:space="preserve">  </w:t>
      </w:r>
      <w:r>
        <w:rPr>
          <w:rFonts w:hint="eastAsia"/>
          <w:sz w:val="15"/>
          <w:szCs w:val="15"/>
          <w:lang w:val="en-US" w:eastAsia="zh-CN"/>
        </w:rPr>
        <w:t>晋AF9899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