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张明春</w:t>
      </w:r>
      <w:r>
        <w:rPr>
          <w:rFonts w:hint="eastAsia"/>
          <w:sz w:val="15"/>
          <w:szCs w:val="15"/>
          <w:highlight w:val="none"/>
        </w:rPr>
        <w:t>，</w:t>
      </w:r>
      <w:r>
        <w:rPr>
          <w:rFonts w:hint="eastAsia"/>
          <w:sz w:val="15"/>
          <w:szCs w:val="15"/>
          <w:highlight w:val="none"/>
          <w:lang w:val="en-US" w:eastAsia="zh-CN"/>
        </w:rPr>
        <w:t>13303119730204661X</w:t>
      </w:r>
      <w:r>
        <w:rPr>
          <w:rFonts w:hint="eastAsia"/>
          <w:sz w:val="15"/>
          <w:szCs w:val="15"/>
        </w:rPr>
        <w:t xml:space="preserve">  </w:t>
      </w:r>
      <w:r>
        <w:rPr>
          <w:rFonts w:hint="eastAsia"/>
          <w:sz w:val="15"/>
          <w:szCs w:val="15"/>
          <w:lang w:val="en-US" w:eastAsia="zh-CN"/>
        </w:rPr>
        <w:t>冀T68098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