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郭文峰</w:t>
      </w:r>
      <w:r>
        <w:rPr>
          <w:rFonts w:hint="eastAsia"/>
          <w:sz w:val="15"/>
          <w:szCs w:val="15"/>
          <w:highlight w:val="none"/>
        </w:rPr>
        <w:t>，</w:t>
      </w:r>
      <w:r>
        <w:rPr>
          <w:rFonts w:hint="eastAsia"/>
          <w:sz w:val="15"/>
          <w:szCs w:val="15"/>
          <w:highlight w:val="none"/>
          <w:lang w:val="en-US" w:eastAsia="zh-CN"/>
        </w:rPr>
        <w:t>13302419760202323X</w:t>
      </w:r>
      <w:r>
        <w:rPr>
          <w:rFonts w:hint="eastAsia"/>
          <w:sz w:val="15"/>
          <w:szCs w:val="15"/>
        </w:rPr>
        <w:t xml:space="preserve">  </w:t>
      </w:r>
      <w:r>
        <w:rPr>
          <w:rFonts w:hint="eastAsia"/>
          <w:sz w:val="15"/>
          <w:szCs w:val="15"/>
          <w:lang w:val="en-US" w:eastAsia="zh-CN"/>
        </w:rPr>
        <w:t>冀A73V93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