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李如君</w:t>
      </w:r>
      <w:r>
        <w:rPr>
          <w:rFonts w:hint="eastAsia"/>
          <w:sz w:val="15"/>
          <w:szCs w:val="15"/>
          <w:highlight w:val="none"/>
        </w:rPr>
        <w:t>，</w:t>
      </w:r>
      <w:r>
        <w:rPr>
          <w:rFonts w:hint="eastAsia"/>
          <w:sz w:val="15"/>
          <w:szCs w:val="15"/>
          <w:highlight w:val="none"/>
          <w:lang w:val="en-US" w:eastAsia="zh-CN"/>
        </w:rPr>
        <w:t>132928197702101235</w:t>
      </w:r>
      <w:r>
        <w:rPr>
          <w:rFonts w:hint="eastAsia"/>
          <w:sz w:val="15"/>
          <w:szCs w:val="15"/>
        </w:rPr>
        <w:t xml:space="preserve">  </w:t>
      </w:r>
      <w:r>
        <w:rPr>
          <w:rFonts w:hint="eastAsia"/>
          <w:sz w:val="15"/>
          <w:szCs w:val="15"/>
          <w:lang w:val="en-US" w:eastAsia="zh-CN"/>
        </w:rPr>
        <w:t>冀J5X772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