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肖风忠</w:t>
      </w:r>
      <w:r>
        <w:rPr>
          <w:rFonts w:hint="eastAsia"/>
          <w:sz w:val="15"/>
          <w:szCs w:val="15"/>
          <w:highlight w:val="none"/>
        </w:rPr>
        <w:t>，</w:t>
      </w:r>
      <w:r>
        <w:rPr>
          <w:rFonts w:hint="eastAsia"/>
          <w:sz w:val="15"/>
          <w:szCs w:val="15"/>
          <w:highlight w:val="none"/>
          <w:lang w:val="en-US" w:eastAsia="zh-CN"/>
        </w:rPr>
        <w:t>13290219710929081X</w:t>
      </w:r>
      <w:r>
        <w:rPr>
          <w:rFonts w:hint="eastAsia"/>
          <w:sz w:val="15"/>
          <w:szCs w:val="15"/>
        </w:rPr>
        <w:t xml:space="preserve">  </w:t>
      </w:r>
      <w:r>
        <w:rPr>
          <w:rFonts w:hint="eastAsia"/>
          <w:sz w:val="15"/>
          <w:szCs w:val="15"/>
          <w:lang w:val="en-US" w:eastAsia="zh-CN"/>
        </w:rPr>
        <w:t>冀JX3638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