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马建峰</w:t>
      </w:r>
      <w:r>
        <w:rPr>
          <w:rFonts w:hint="eastAsia"/>
          <w:sz w:val="15"/>
          <w:szCs w:val="15"/>
          <w:highlight w:val="none"/>
        </w:rPr>
        <w:t>，</w:t>
      </w:r>
      <w:r>
        <w:rPr>
          <w:rFonts w:hint="eastAsia"/>
          <w:sz w:val="15"/>
          <w:szCs w:val="15"/>
          <w:highlight w:val="none"/>
          <w:lang w:val="en-US" w:eastAsia="zh-CN"/>
        </w:rPr>
        <w:t>132902196912294970</w:t>
      </w:r>
      <w:r>
        <w:rPr>
          <w:rFonts w:hint="eastAsia"/>
          <w:sz w:val="15"/>
          <w:szCs w:val="15"/>
        </w:rPr>
        <w:t xml:space="preserve">  </w:t>
      </w:r>
      <w:r>
        <w:rPr>
          <w:rFonts w:hint="eastAsia"/>
          <w:sz w:val="15"/>
          <w:szCs w:val="15"/>
          <w:lang w:val="en-US" w:eastAsia="zh-CN"/>
        </w:rPr>
        <w:t>冀TV0368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