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杨丽彦</w:t>
      </w:r>
      <w:r>
        <w:rPr>
          <w:rFonts w:hint="eastAsia"/>
          <w:sz w:val="15"/>
          <w:szCs w:val="15"/>
          <w:highlight w:val="none"/>
        </w:rPr>
        <w:t>，</w:t>
      </w:r>
      <w:r>
        <w:rPr>
          <w:rFonts w:hint="eastAsia"/>
          <w:sz w:val="15"/>
          <w:szCs w:val="15"/>
          <w:highlight w:val="none"/>
          <w:lang w:val="en-US" w:eastAsia="zh-CN"/>
        </w:rPr>
        <w:t>132337198005241441</w:t>
      </w:r>
      <w:r>
        <w:rPr>
          <w:rFonts w:hint="eastAsia"/>
          <w:sz w:val="15"/>
          <w:szCs w:val="15"/>
        </w:rPr>
        <w:t xml:space="preserve">  </w:t>
      </w:r>
      <w:r>
        <w:rPr>
          <w:rFonts w:hint="eastAsia"/>
          <w:sz w:val="15"/>
          <w:szCs w:val="15"/>
          <w:lang w:val="en-US" w:eastAsia="zh-CN"/>
        </w:rPr>
        <w:t>冀A1545Y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