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陈增强</w:t>
      </w:r>
      <w:r>
        <w:rPr>
          <w:rFonts w:hint="eastAsia"/>
          <w:sz w:val="15"/>
          <w:szCs w:val="15"/>
          <w:highlight w:val="none"/>
        </w:rPr>
        <w:t>，</w:t>
      </w:r>
      <w:r>
        <w:rPr>
          <w:rFonts w:hint="eastAsia"/>
          <w:sz w:val="15"/>
          <w:szCs w:val="15"/>
          <w:highlight w:val="none"/>
          <w:lang w:val="en-US" w:eastAsia="zh-CN"/>
        </w:rPr>
        <w:t>132337198004043195</w:t>
      </w:r>
      <w:r>
        <w:rPr>
          <w:rFonts w:hint="eastAsia"/>
          <w:sz w:val="15"/>
          <w:szCs w:val="15"/>
        </w:rPr>
        <w:t xml:space="preserve">  </w:t>
      </w:r>
      <w:r>
        <w:rPr>
          <w:rFonts w:hint="eastAsia"/>
          <w:sz w:val="15"/>
          <w:szCs w:val="15"/>
          <w:lang w:val="en-US" w:eastAsia="zh-CN"/>
        </w:rPr>
        <w:t>冀AKL932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