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刘保</w:t>
      </w:r>
      <w:r>
        <w:rPr>
          <w:rFonts w:hint="eastAsia"/>
          <w:sz w:val="15"/>
          <w:szCs w:val="15"/>
          <w:highlight w:val="none"/>
        </w:rPr>
        <w:t>，</w:t>
      </w:r>
      <w:r>
        <w:rPr>
          <w:rFonts w:hint="eastAsia"/>
          <w:sz w:val="15"/>
          <w:szCs w:val="15"/>
          <w:highlight w:val="none"/>
          <w:lang w:val="en-US" w:eastAsia="zh-CN"/>
        </w:rPr>
        <w:t>132337197908254310</w:t>
      </w:r>
      <w:r>
        <w:rPr>
          <w:rFonts w:hint="eastAsia"/>
          <w:sz w:val="15"/>
          <w:szCs w:val="15"/>
        </w:rPr>
        <w:t xml:space="preserve">  </w:t>
      </w:r>
      <w:r>
        <w:rPr>
          <w:rFonts w:hint="eastAsia"/>
          <w:sz w:val="15"/>
          <w:szCs w:val="15"/>
          <w:lang w:val="en-US" w:eastAsia="zh-CN"/>
        </w:rPr>
        <w:t>冀ALB331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