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李吉龙</w:t>
      </w:r>
      <w:r>
        <w:rPr>
          <w:rFonts w:hint="eastAsia"/>
          <w:sz w:val="15"/>
          <w:szCs w:val="15"/>
          <w:highlight w:val="none"/>
        </w:rPr>
        <w:t>，</w:t>
      </w:r>
      <w:r>
        <w:rPr>
          <w:rFonts w:hint="eastAsia"/>
          <w:sz w:val="15"/>
          <w:szCs w:val="15"/>
          <w:highlight w:val="none"/>
          <w:lang w:val="en-US" w:eastAsia="zh-CN"/>
        </w:rPr>
        <w:t>132337197908102237</w:t>
      </w:r>
      <w:r>
        <w:rPr>
          <w:rFonts w:hint="eastAsia"/>
          <w:sz w:val="15"/>
          <w:szCs w:val="15"/>
        </w:rPr>
        <w:t xml:space="preserve">  </w:t>
      </w:r>
      <w:r>
        <w:rPr>
          <w:rFonts w:hint="eastAsia"/>
          <w:sz w:val="15"/>
          <w:szCs w:val="15"/>
          <w:lang w:val="en-US" w:eastAsia="zh-CN"/>
        </w:rPr>
        <w:t>冀A61S33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