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宋志杰</w:t>
      </w:r>
      <w:r>
        <w:rPr>
          <w:rFonts w:hint="eastAsia"/>
          <w:sz w:val="15"/>
          <w:szCs w:val="15"/>
          <w:highlight w:val="none"/>
        </w:rPr>
        <w:t>，</w:t>
      </w:r>
      <w:r>
        <w:rPr>
          <w:rFonts w:hint="eastAsia"/>
          <w:sz w:val="15"/>
          <w:szCs w:val="15"/>
          <w:highlight w:val="none"/>
          <w:lang w:val="en-US" w:eastAsia="zh-CN"/>
        </w:rPr>
        <w:t>132337197810080711</w:t>
      </w:r>
      <w:r>
        <w:rPr>
          <w:rFonts w:hint="eastAsia"/>
          <w:sz w:val="15"/>
          <w:szCs w:val="15"/>
        </w:rPr>
        <w:t xml:space="preserve">  </w:t>
      </w:r>
      <w:r>
        <w:rPr>
          <w:rFonts w:hint="eastAsia"/>
          <w:sz w:val="15"/>
          <w:szCs w:val="15"/>
          <w:lang w:val="en-US" w:eastAsia="zh-CN"/>
        </w:rPr>
        <w:t>冀A8084U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