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黄义霞</w:t>
      </w:r>
      <w:r>
        <w:rPr>
          <w:rFonts w:hint="eastAsia"/>
          <w:sz w:val="15"/>
          <w:szCs w:val="15"/>
          <w:highlight w:val="none"/>
        </w:rPr>
        <w:t>，</w:t>
      </w:r>
      <w:r>
        <w:rPr>
          <w:rFonts w:hint="eastAsia"/>
          <w:sz w:val="15"/>
          <w:szCs w:val="15"/>
          <w:highlight w:val="none"/>
          <w:lang w:val="en-US" w:eastAsia="zh-CN"/>
        </w:rPr>
        <w:t>132337197807213763</w:t>
      </w:r>
      <w:r>
        <w:rPr>
          <w:rFonts w:hint="eastAsia"/>
          <w:sz w:val="15"/>
          <w:szCs w:val="15"/>
        </w:rPr>
        <w:t xml:space="preserve">  </w:t>
      </w:r>
      <w:r>
        <w:rPr>
          <w:rFonts w:hint="eastAsia"/>
          <w:sz w:val="15"/>
          <w:szCs w:val="15"/>
          <w:lang w:val="en-US" w:eastAsia="zh-CN"/>
        </w:rPr>
        <w:t>冀AEL242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