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毛书霞</w:t>
      </w:r>
      <w:r>
        <w:rPr>
          <w:rFonts w:hint="eastAsia"/>
          <w:sz w:val="15"/>
          <w:szCs w:val="15"/>
          <w:highlight w:val="none"/>
        </w:rPr>
        <w:t>，</w:t>
      </w:r>
      <w:r>
        <w:rPr>
          <w:rFonts w:hint="eastAsia"/>
          <w:sz w:val="15"/>
          <w:szCs w:val="15"/>
          <w:highlight w:val="none"/>
          <w:lang w:val="en-US" w:eastAsia="zh-CN"/>
        </w:rPr>
        <w:t>132337197606050507</w:t>
      </w:r>
      <w:r>
        <w:rPr>
          <w:rFonts w:hint="eastAsia"/>
          <w:sz w:val="15"/>
          <w:szCs w:val="15"/>
        </w:rPr>
        <w:t xml:space="preserve">  </w:t>
      </w:r>
      <w:r>
        <w:rPr>
          <w:rFonts w:hint="eastAsia"/>
          <w:sz w:val="15"/>
          <w:szCs w:val="15"/>
          <w:lang w:val="en-US" w:eastAsia="zh-CN"/>
        </w:rPr>
        <w:t>冀A45728D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