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杨利锋</w:t>
      </w:r>
      <w:r>
        <w:rPr>
          <w:rFonts w:hint="eastAsia"/>
          <w:sz w:val="15"/>
          <w:szCs w:val="15"/>
          <w:highlight w:val="none"/>
        </w:rPr>
        <w:t>，</w:t>
      </w:r>
      <w:r>
        <w:rPr>
          <w:rFonts w:hint="eastAsia"/>
          <w:sz w:val="15"/>
          <w:szCs w:val="15"/>
          <w:highlight w:val="none"/>
          <w:lang w:val="en-US" w:eastAsia="zh-CN"/>
        </w:rPr>
        <w:t>132337197311250210</w:t>
      </w:r>
      <w:r>
        <w:rPr>
          <w:rFonts w:hint="eastAsia"/>
          <w:sz w:val="15"/>
          <w:szCs w:val="15"/>
        </w:rPr>
        <w:t xml:space="preserve">  </w:t>
      </w:r>
      <w:r>
        <w:rPr>
          <w:rFonts w:hint="eastAsia"/>
          <w:sz w:val="15"/>
          <w:szCs w:val="15"/>
          <w:lang w:val="en-US" w:eastAsia="zh-CN"/>
        </w:rPr>
        <w:t>冀A615Y4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