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赵永岗</w:t>
      </w:r>
      <w:r>
        <w:rPr>
          <w:rFonts w:hint="eastAsia"/>
          <w:sz w:val="15"/>
          <w:szCs w:val="15"/>
          <w:highlight w:val="none"/>
        </w:rPr>
        <w:t>，</w:t>
      </w:r>
      <w:r>
        <w:rPr>
          <w:rFonts w:hint="eastAsia"/>
          <w:sz w:val="15"/>
          <w:szCs w:val="15"/>
          <w:highlight w:val="none"/>
          <w:lang w:val="en-US" w:eastAsia="zh-CN"/>
        </w:rPr>
        <w:t>132337197301151438</w:t>
      </w:r>
      <w:r>
        <w:rPr>
          <w:rFonts w:hint="eastAsia"/>
          <w:sz w:val="15"/>
          <w:szCs w:val="15"/>
        </w:rPr>
        <w:t xml:space="preserve">  </w:t>
      </w:r>
      <w:r>
        <w:rPr>
          <w:rFonts w:hint="eastAsia"/>
          <w:sz w:val="15"/>
          <w:szCs w:val="15"/>
          <w:lang w:val="en-US" w:eastAsia="zh-CN"/>
        </w:rPr>
        <w:t>冀AND458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