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仝素青</w:t>
      </w:r>
      <w:r>
        <w:rPr>
          <w:rFonts w:hint="eastAsia"/>
          <w:sz w:val="15"/>
          <w:szCs w:val="15"/>
          <w:highlight w:val="none"/>
        </w:rPr>
        <w:t>，</w:t>
      </w:r>
      <w:r>
        <w:rPr>
          <w:rFonts w:hint="eastAsia"/>
          <w:sz w:val="15"/>
          <w:szCs w:val="15"/>
          <w:highlight w:val="none"/>
          <w:lang w:val="en-US" w:eastAsia="zh-CN"/>
        </w:rPr>
        <w:t>132337197008123083</w:t>
      </w:r>
      <w:r>
        <w:rPr>
          <w:rFonts w:hint="eastAsia"/>
          <w:sz w:val="15"/>
          <w:szCs w:val="15"/>
        </w:rPr>
        <w:t xml:space="preserve">  </w:t>
      </w:r>
      <w:r>
        <w:rPr>
          <w:rFonts w:hint="eastAsia"/>
          <w:sz w:val="15"/>
          <w:szCs w:val="15"/>
          <w:lang w:val="en-US" w:eastAsia="zh-CN"/>
        </w:rPr>
        <w:t>冀A9970Y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