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吕红岗</w:t>
      </w:r>
      <w:r>
        <w:rPr>
          <w:rFonts w:hint="eastAsia"/>
          <w:sz w:val="15"/>
          <w:szCs w:val="15"/>
          <w:highlight w:val="none"/>
        </w:rPr>
        <w:t>，</w:t>
      </w:r>
      <w:r>
        <w:rPr>
          <w:rFonts w:hint="eastAsia"/>
          <w:sz w:val="15"/>
          <w:szCs w:val="15"/>
          <w:highlight w:val="none"/>
          <w:lang w:val="en-US" w:eastAsia="zh-CN"/>
        </w:rPr>
        <w:t>132336198108220313</w:t>
      </w:r>
      <w:r>
        <w:rPr>
          <w:rFonts w:hint="eastAsia"/>
          <w:sz w:val="15"/>
          <w:szCs w:val="15"/>
        </w:rPr>
        <w:t xml:space="preserve">  </w:t>
      </w:r>
      <w:r>
        <w:rPr>
          <w:rFonts w:hint="eastAsia"/>
          <w:sz w:val="15"/>
          <w:szCs w:val="15"/>
          <w:lang w:val="en-US" w:eastAsia="zh-CN"/>
        </w:rPr>
        <w:t>冀AWE119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