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w:t>
      </w:r>
      <w:r>
        <w:rPr>
          <w:rFonts w:hint="eastAsia"/>
          <w:sz w:val="15"/>
          <w:szCs w:val="15"/>
          <w:highlight w:val="none"/>
        </w:rPr>
        <w:t>，</w:t>
      </w:r>
      <w:r>
        <w:rPr>
          <w:rFonts w:hint="eastAsia"/>
          <w:sz w:val="15"/>
          <w:szCs w:val="15"/>
          <w:highlight w:val="none"/>
          <w:lang w:val="en-US" w:eastAsia="zh-CN"/>
        </w:rPr>
        <w:t>132336198106250738</w:t>
      </w:r>
      <w:r>
        <w:rPr>
          <w:rFonts w:hint="eastAsia"/>
          <w:sz w:val="15"/>
          <w:szCs w:val="15"/>
        </w:rPr>
        <w:t xml:space="preserve">  </w:t>
      </w:r>
      <w:r>
        <w:rPr>
          <w:rFonts w:hint="eastAsia"/>
          <w:sz w:val="15"/>
          <w:szCs w:val="15"/>
          <w:lang w:val="en-US" w:eastAsia="zh-CN"/>
        </w:rPr>
        <w:t>冀A40676D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