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任春龙</w:t>
      </w:r>
      <w:r>
        <w:rPr>
          <w:rFonts w:hint="eastAsia"/>
          <w:sz w:val="15"/>
          <w:szCs w:val="15"/>
          <w:highlight w:val="none"/>
        </w:rPr>
        <w:t>，</w:t>
      </w:r>
      <w:r>
        <w:rPr>
          <w:rFonts w:hint="eastAsia"/>
          <w:sz w:val="15"/>
          <w:szCs w:val="15"/>
          <w:highlight w:val="none"/>
          <w:lang w:val="en-US" w:eastAsia="zh-CN"/>
        </w:rPr>
        <w:t>132336198102200717</w:t>
      </w:r>
      <w:r>
        <w:rPr>
          <w:rFonts w:hint="eastAsia"/>
          <w:sz w:val="15"/>
          <w:szCs w:val="15"/>
        </w:rPr>
        <w:t xml:space="preserve">  </w:t>
      </w:r>
      <w:r>
        <w:rPr>
          <w:rFonts w:hint="eastAsia"/>
          <w:sz w:val="15"/>
          <w:szCs w:val="15"/>
          <w:lang w:val="en-US" w:eastAsia="zh-CN"/>
        </w:rPr>
        <w:t>冀A1592V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