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闫春雷</w:t>
      </w:r>
      <w:r>
        <w:rPr>
          <w:rFonts w:hint="eastAsia"/>
          <w:sz w:val="15"/>
          <w:szCs w:val="15"/>
          <w:highlight w:val="none"/>
        </w:rPr>
        <w:t>，</w:t>
      </w:r>
      <w:r>
        <w:rPr>
          <w:rFonts w:hint="eastAsia"/>
          <w:sz w:val="15"/>
          <w:szCs w:val="15"/>
          <w:highlight w:val="none"/>
          <w:lang w:val="en-US" w:eastAsia="zh-CN"/>
        </w:rPr>
        <w:t>132336197807211219</w:t>
      </w:r>
      <w:r>
        <w:rPr>
          <w:rFonts w:hint="eastAsia"/>
          <w:sz w:val="15"/>
          <w:szCs w:val="15"/>
        </w:rPr>
        <w:t xml:space="preserve">  </w:t>
      </w:r>
      <w:r>
        <w:rPr>
          <w:rFonts w:hint="eastAsia"/>
          <w:sz w:val="15"/>
          <w:szCs w:val="15"/>
          <w:lang w:val="en-US" w:eastAsia="zh-CN"/>
        </w:rPr>
        <w:t>沪A27870A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