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冯建军</w:t>
      </w:r>
      <w:r>
        <w:rPr>
          <w:rFonts w:hint="eastAsia"/>
          <w:sz w:val="15"/>
          <w:szCs w:val="15"/>
          <w:highlight w:val="none"/>
        </w:rPr>
        <w:t>，</w:t>
      </w:r>
      <w:r>
        <w:rPr>
          <w:rFonts w:hint="eastAsia"/>
          <w:sz w:val="15"/>
          <w:szCs w:val="15"/>
          <w:highlight w:val="none"/>
          <w:lang w:val="en-US" w:eastAsia="zh-CN"/>
        </w:rPr>
        <w:t>132336197601061219</w:t>
      </w:r>
      <w:r>
        <w:rPr>
          <w:rFonts w:hint="eastAsia"/>
          <w:sz w:val="15"/>
          <w:szCs w:val="15"/>
        </w:rPr>
        <w:t xml:space="preserve">  </w:t>
      </w:r>
      <w:r>
        <w:rPr>
          <w:rFonts w:hint="eastAsia"/>
          <w:sz w:val="15"/>
          <w:szCs w:val="15"/>
          <w:lang w:val="en-US" w:eastAsia="zh-CN"/>
        </w:rPr>
        <w:t>冀ARC037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