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牛彦北</w:t>
      </w:r>
      <w:r>
        <w:rPr>
          <w:rFonts w:hint="eastAsia"/>
          <w:sz w:val="15"/>
          <w:szCs w:val="15"/>
          <w:highlight w:val="none"/>
        </w:rPr>
        <w:t>，</w:t>
      </w:r>
      <w:r>
        <w:rPr>
          <w:rFonts w:hint="eastAsia"/>
          <w:sz w:val="15"/>
          <w:szCs w:val="15"/>
          <w:highlight w:val="none"/>
          <w:lang w:val="en-US" w:eastAsia="zh-CN"/>
        </w:rPr>
        <w:t>132336197312040454</w:t>
      </w:r>
      <w:r>
        <w:rPr>
          <w:rFonts w:hint="eastAsia"/>
          <w:sz w:val="15"/>
          <w:szCs w:val="15"/>
        </w:rPr>
        <w:t xml:space="preserve">  </w:t>
      </w:r>
      <w:r>
        <w:rPr>
          <w:rFonts w:hint="eastAsia"/>
          <w:sz w:val="15"/>
          <w:szCs w:val="15"/>
          <w:lang w:val="en-US" w:eastAsia="zh-CN"/>
        </w:rPr>
        <w:t>冀A21N44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