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李建华</w:t>
      </w:r>
      <w:r>
        <w:rPr>
          <w:rFonts w:hint="eastAsia"/>
          <w:sz w:val="15"/>
          <w:szCs w:val="15"/>
          <w:highlight w:val="none"/>
        </w:rPr>
        <w:t>，</w:t>
      </w:r>
      <w:r>
        <w:rPr>
          <w:rFonts w:hint="eastAsia"/>
          <w:sz w:val="15"/>
          <w:szCs w:val="15"/>
          <w:highlight w:val="none"/>
          <w:lang w:val="en-US" w:eastAsia="zh-CN"/>
        </w:rPr>
        <w:t>132336197206281625</w:t>
      </w:r>
      <w:r>
        <w:rPr>
          <w:rFonts w:hint="eastAsia"/>
          <w:sz w:val="15"/>
          <w:szCs w:val="15"/>
        </w:rPr>
        <w:t xml:space="preserve">  </w:t>
      </w:r>
      <w:r>
        <w:rPr>
          <w:rFonts w:hint="eastAsia"/>
          <w:sz w:val="15"/>
          <w:szCs w:val="15"/>
          <w:lang w:val="en-US" w:eastAsia="zh-CN"/>
        </w:rPr>
        <w:t>冀ASP885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