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李二霞</w:t>
      </w:r>
      <w:r>
        <w:rPr>
          <w:rFonts w:hint="eastAsia"/>
          <w:sz w:val="15"/>
          <w:szCs w:val="15"/>
          <w:highlight w:val="none"/>
        </w:rPr>
        <w:t>，</w:t>
      </w:r>
      <w:r>
        <w:rPr>
          <w:rFonts w:hint="eastAsia"/>
          <w:sz w:val="15"/>
          <w:szCs w:val="15"/>
          <w:highlight w:val="none"/>
          <w:lang w:val="en-US" w:eastAsia="zh-CN"/>
        </w:rPr>
        <w:t>13233519811201118X</w:t>
      </w:r>
      <w:r>
        <w:rPr>
          <w:rFonts w:hint="eastAsia"/>
          <w:sz w:val="15"/>
          <w:szCs w:val="15"/>
        </w:rPr>
        <w:t xml:space="preserve">  </w:t>
      </w:r>
      <w:r>
        <w:rPr>
          <w:rFonts w:hint="eastAsia"/>
          <w:sz w:val="15"/>
          <w:szCs w:val="15"/>
          <w:lang w:val="en-US" w:eastAsia="zh-CN"/>
        </w:rPr>
        <w:t>冀A56447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