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韩进强</w:t>
      </w:r>
      <w:r>
        <w:rPr>
          <w:rFonts w:hint="eastAsia"/>
          <w:sz w:val="15"/>
          <w:szCs w:val="15"/>
          <w:highlight w:val="none"/>
        </w:rPr>
        <w:t>，</w:t>
      </w:r>
      <w:r>
        <w:rPr>
          <w:rFonts w:hint="eastAsia"/>
          <w:sz w:val="15"/>
          <w:szCs w:val="15"/>
          <w:highlight w:val="none"/>
          <w:lang w:val="en-US" w:eastAsia="zh-CN"/>
        </w:rPr>
        <w:t>132335198111271617</w:t>
      </w:r>
      <w:r>
        <w:rPr>
          <w:rFonts w:hint="eastAsia"/>
          <w:sz w:val="15"/>
          <w:szCs w:val="15"/>
        </w:rPr>
        <w:t xml:space="preserve">  </w:t>
      </w:r>
      <w:r>
        <w:rPr>
          <w:rFonts w:hint="eastAsia"/>
          <w:sz w:val="15"/>
          <w:szCs w:val="15"/>
          <w:lang w:val="en-US" w:eastAsia="zh-CN"/>
        </w:rPr>
        <w:t>冀AKM076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