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刘建</w:t>
      </w:r>
      <w:r>
        <w:rPr>
          <w:rFonts w:hint="eastAsia"/>
          <w:sz w:val="15"/>
          <w:szCs w:val="15"/>
          <w:highlight w:val="none"/>
        </w:rPr>
        <w:t>，</w:t>
      </w:r>
      <w:r>
        <w:rPr>
          <w:rFonts w:hint="eastAsia"/>
          <w:sz w:val="15"/>
          <w:szCs w:val="15"/>
          <w:highlight w:val="none"/>
          <w:lang w:val="en-US" w:eastAsia="zh-CN"/>
        </w:rPr>
        <w:t>132335198110150055</w:t>
      </w:r>
      <w:r>
        <w:rPr>
          <w:rFonts w:hint="eastAsia"/>
          <w:sz w:val="15"/>
          <w:szCs w:val="15"/>
        </w:rPr>
        <w:t xml:space="preserve">  </w:t>
      </w:r>
      <w:r>
        <w:rPr>
          <w:rFonts w:hint="eastAsia"/>
          <w:sz w:val="15"/>
          <w:szCs w:val="15"/>
          <w:lang w:val="en-US" w:eastAsia="zh-CN"/>
        </w:rPr>
        <w:t>沪A75312D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