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王光明</w:t>
      </w:r>
      <w:r>
        <w:rPr>
          <w:rFonts w:hint="eastAsia"/>
          <w:sz w:val="15"/>
          <w:szCs w:val="15"/>
          <w:highlight w:val="none"/>
        </w:rPr>
        <w:t>，</w:t>
      </w:r>
      <w:r>
        <w:rPr>
          <w:rFonts w:hint="eastAsia"/>
          <w:sz w:val="15"/>
          <w:szCs w:val="15"/>
          <w:highlight w:val="none"/>
          <w:lang w:val="en-US" w:eastAsia="zh-CN"/>
        </w:rPr>
        <w:t>132335198108242276</w:t>
      </w:r>
      <w:r>
        <w:rPr>
          <w:rFonts w:hint="eastAsia"/>
          <w:sz w:val="15"/>
          <w:szCs w:val="15"/>
        </w:rPr>
        <w:t xml:space="preserve">  </w:t>
      </w:r>
      <w:r>
        <w:rPr>
          <w:rFonts w:hint="eastAsia"/>
          <w:sz w:val="15"/>
          <w:szCs w:val="15"/>
          <w:lang w:val="en-US" w:eastAsia="zh-CN"/>
        </w:rPr>
        <w:t>冀A763AD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