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封江波</w:t>
      </w:r>
      <w:r>
        <w:rPr>
          <w:rFonts w:hint="eastAsia"/>
          <w:sz w:val="15"/>
          <w:szCs w:val="15"/>
          <w:highlight w:val="none"/>
        </w:rPr>
        <w:t>，</w:t>
      </w:r>
      <w:r>
        <w:rPr>
          <w:rFonts w:hint="eastAsia"/>
          <w:sz w:val="15"/>
          <w:szCs w:val="15"/>
          <w:highlight w:val="none"/>
          <w:lang w:val="en-US" w:eastAsia="zh-CN"/>
        </w:rPr>
        <w:t>132335198105242270</w:t>
      </w:r>
      <w:r>
        <w:rPr>
          <w:rFonts w:hint="eastAsia"/>
          <w:sz w:val="15"/>
          <w:szCs w:val="15"/>
        </w:rPr>
        <w:t xml:space="preserve">  </w:t>
      </w:r>
      <w:r>
        <w:rPr>
          <w:rFonts w:hint="eastAsia"/>
          <w:sz w:val="15"/>
          <w:szCs w:val="15"/>
          <w:lang w:val="en-US" w:eastAsia="zh-CN"/>
        </w:rPr>
        <w:t>冀A7H779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