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石建波</w:t>
      </w:r>
      <w:r>
        <w:rPr>
          <w:rFonts w:hint="eastAsia"/>
          <w:sz w:val="15"/>
          <w:szCs w:val="15"/>
          <w:highlight w:val="none"/>
        </w:rPr>
        <w:t>，</w:t>
      </w:r>
      <w:r>
        <w:rPr>
          <w:rFonts w:hint="eastAsia"/>
          <w:sz w:val="15"/>
          <w:szCs w:val="15"/>
          <w:highlight w:val="none"/>
          <w:lang w:val="en-US" w:eastAsia="zh-CN"/>
        </w:rPr>
        <w:t>132335198012240719</w:t>
      </w:r>
      <w:r>
        <w:rPr>
          <w:rFonts w:hint="eastAsia"/>
          <w:sz w:val="15"/>
          <w:szCs w:val="15"/>
        </w:rPr>
        <w:t xml:space="preserve">  </w:t>
      </w:r>
      <w:r>
        <w:rPr>
          <w:rFonts w:hint="eastAsia"/>
          <w:sz w:val="15"/>
          <w:szCs w:val="15"/>
          <w:lang w:val="en-US" w:eastAsia="zh-CN"/>
        </w:rPr>
        <w:t>沪A88600D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