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齐战杰</w:t>
      </w:r>
      <w:r>
        <w:rPr>
          <w:rFonts w:hint="eastAsia"/>
          <w:sz w:val="15"/>
          <w:szCs w:val="15"/>
          <w:highlight w:val="none"/>
        </w:rPr>
        <w:t>，</w:t>
      </w:r>
      <w:r>
        <w:rPr>
          <w:rFonts w:hint="eastAsia"/>
          <w:sz w:val="15"/>
          <w:szCs w:val="15"/>
          <w:highlight w:val="none"/>
          <w:lang w:val="en-US" w:eastAsia="zh-CN"/>
        </w:rPr>
        <w:t>132335198012061876</w:t>
      </w:r>
      <w:r>
        <w:rPr>
          <w:rFonts w:hint="eastAsia"/>
          <w:sz w:val="15"/>
          <w:szCs w:val="15"/>
        </w:rPr>
        <w:t xml:space="preserve">  </w:t>
      </w:r>
      <w:r>
        <w:rPr>
          <w:rFonts w:hint="eastAsia"/>
          <w:sz w:val="15"/>
          <w:szCs w:val="15"/>
          <w:lang w:val="en-US" w:eastAsia="zh-CN"/>
        </w:rPr>
        <w:t>冀AL4496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