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史春会</w:t>
      </w:r>
      <w:r>
        <w:rPr>
          <w:rFonts w:hint="eastAsia"/>
          <w:sz w:val="15"/>
          <w:szCs w:val="15"/>
          <w:highlight w:val="none"/>
        </w:rPr>
        <w:t>，</w:t>
      </w:r>
      <w:r>
        <w:rPr>
          <w:rFonts w:hint="eastAsia"/>
          <w:sz w:val="15"/>
          <w:szCs w:val="15"/>
          <w:highlight w:val="none"/>
          <w:lang w:val="en-US" w:eastAsia="zh-CN"/>
        </w:rPr>
        <w:t>132335198007292290</w:t>
      </w:r>
      <w:r>
        <w:rPr>
          <w:rFonts w:hint="eastAsia"/>
          <w:sz w:val="15"/>
          <w:szCs w:val="15"/>
        </w:rPr>
        <w:t xml:space="preserve">  </w:t>
      </w:r>
      <w:r>
        <w:rPr>
          <w:rFonts w:hint="eastAsia"/>
          <w:sz w:val="15"/>
          <w:szCs w:val="15"/>
          <w:lang w:val="en-US" w:eastAsia="zh-CN"/>
        </w:rPr>
        <w:t>冀A927PL</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