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王二飞</w:t>
      </w:r>
      <w:r>
        <w:rPr>
          <w:rFonts w:hint="eastAsia"/>
          <w:sz w:val="15"/>
          <w:szCs w:val="15"/>
          <w:highlight w:val="none"/>
        </w:rPr>
        <w:t>，</w:t>
      </w:r>
      <w:r>
        <w:rPr>
          <w:rFonts w:hint="eastAsia"/>
          <w:sz w:val="15"/>
          <w:szCs w:val="15"/>
          <w:highlight w:val="none"/>
          <w:lang w:val="en-US" w:eastAsia="zh-CN"/>
        </w:rPr>
        <w:t>132335198004040039</w:t>
      </w:r>
      <w:r>
        <w:rPr>
          <w:rFonts w:hint="eastAsia"/>
          <w:sz w:val="15"/>
          <w:szCs w:val="15"/>
        </w:rPr>
        <w:t xml:space="preserve">  </w:t>
      </w:r>
      <w:r>
        <w:rPr>
          <w:rFonts w:hint="eastAsia"/>
          <w:sz w:val="15"/>
          <w:szCs w:val="15"/>
          <w:lang w:val="en-US" w:eastAsia="zh-CN"/>
        </w:rPr>
        <w:t>冀A02034D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