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张红吉</w:t>
      </w:r>
      <w:r>
        <w:rPr>
          <w:rFonts w:hint="eastAsia"/>
          <w:sz w:val="15"/>
          <w:szCs w:val="15"/>
          <w:highlight w:val="none"/>
        </w:rPr>
        <w:t>，</w:t>
      </w:r>
      <w:r>
        <w:rPr>
          <w:rFonts w:hint="eastAsia"/>
          <w:sz w:val="15"/>
          <w:szCs w:val="15"/>
          <w:highlight w:val="none"/>
          <w:lang w:val="en-US" w:eastAsia="zh-CN"/>
        </w:rPr>
        <w:t>132335198002181874</w:t>
      </w:r>
      <w:r>
        <w:rPr>
          <w:rFonts w:hint="eastAsia"/>
          <w:sz w:val="15"/>
          <w:szCs w:val="15"/>
        </w:rPr>
        <w:t xml:space="preserve">  </w:t>
      </w:r>
      <w:r>
        <w:rPr>
          <w:rFonts w:hint="eastAsia"/>
          <w:sz w:val="15"/>
          <w:szCs w:val="15"/>
          <w:lang w:val="en-US" w:eastAsia="zh-CN"/>
        </w:rPr>
        <w:t>冀AWX921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