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仇文霞</w:t>
      </w:r>
      <w:r>
        <w:rPr>
          <w:rFonts w:hint="eastAsia"/>
          <w:sz w:val="15"/>
          <w:szCs w:val="15"/>
          <w:highlight w:val="none"/>
        </w:rPr>
        <w:t>，</w:t>
      </w:r>
      <w:r>
        <w:rPr>
          <w:rFonts w:hint="eastAsia"/>
          <w:sz w:val="15"/>
          <w:szCs w:val="15"/>
          <w:highlight w:val="none"/>
          <w:lang w:val="en-US" w:eastAsia="zh-CN"/>
        </w:rPr>
        <w:t>132335197909110869</w:t>
      </w:r>
      <w:r>
        <w:rPr>
          <w:rFonts w:hint="eastAsia"/>
          <w:sz w:val="15"/>
          <w:szCs w:val="15"/>
        </w:rPr>
        <w:t xml:space="preserve">  </w:t>
      </w:r>
      <w:r>
        <w:rPr>
          <w:rFonts w:hint="eastAsia"/>
          <w:sz w:val="15"/>
          <w:szCs w:val="15"/>
          <w:lang w:val="en-US" w:eastAsia="zh-CN"/>
        </w:rPr>
        <w:t>冀A173UN</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