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左海刚</w:t>
      </w:r>
      <w:r>
        <w:rPr>
          <w:rFonts w:hint="eastAsia"/>
          <w:sz w:val="15"/>
          <w:szCs w:val="15"/>
          <w:highlight w:val="none"/>
        </w:rPr>
        <w:t>，</w:t>
      </w:r>
      <w:r>
        <w:rPr>
          <w:rFonts w:hint="eastAsia"/>
          <w:sz w:val="15"/>
          <w:szCs w:val="15"/>
          <w:highlight w:val="none"/>
          <w:lang w:val="en-US" w:eastAsia="zh-CN"/>
        </w:rPr>
        <w:t>132335197907130057</w:t>
      </w:r>
      <w:r>
        <w:rPr>
          <w:rFonts w:hint="eastAsia"/>
          <w:sz w:val="15"/>
          <w:szCs w:val="15"/>
        </w:rPr>
        <w:t xml:space="preserve">  </w:t>
      </w:r>
      <w:r>
        <w:rPr>
          <w:rFonts w:hint="eastAsia"/>
          <w:sz w:val="15"/>
          <w:szCs w:val="15"/>
          <w:lang w:val="en-US" w:eastAsia="zh-CN"/>
        </w:rPr>
        <w:t>冀A26631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