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刘明霞</w:t>
      </w:r>
      <w:r>
        <w:rPr>
          <w:rFonts w:hint="eastAsia"/>
          <w:sz w:val="15"/>
          <w:szCs w:val="15"/>
          <w:highlight w:val="none"/>
        </w:rPr>
        <w:t>，</w:t>
      </w:r>
      <w:r>
        <w:rPr>
          <w:rFonts w:hint="eastAsia"/>
          <w:sz w:val="15"/>
          <w:szCs w:val="15"/>
          <w:highlight w:val="none"/>
          <w:lang w:val="en-US" w:eastAsia="zh-CN"/>
        </w:rPr>
        <w:t>132335197906111161</w:t>
      </w:r>
      <w:r>
        <w:rPr>
          <w:rFonts w:hint="eastAsia"/>
          <w:sz w:val="15"/>
          <w:szCs w:val="15"/>
        </w:rPr>
        <w:t xml:space="preserve">  </w:t>
      </w:r>
      <w:r>
        <w:rPr>
          <w:rFonts w:hint="eastAsia"/>
          <w:sz w:val="15"/>
          <w:szCs w:val="15"/>
          <w:lang w:val="en-US" w:eastAsia="zh-CN"/>
        </w:rPr>
        <w:t>沪A10707A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